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882" w:rsidRDefault="00361882" w:rsidP="00B843FA">
      <w:pPr>
        <w:jc w:val="center"/>
        <w:rPr>
          <w:rFonts w:ascii="Arial" w:hAnsi="Arial" w:cs="Arial"/>
          <w:b/>
          <w:bCs/>
          <w:color w:val="3F5664"/>
          <w:sz w:val="22"/>
          <w:szCs w:val="22"/>
          <w:u w:val="single"/>
        </w:rPr>
      </w:pPr>
    </w:p>
    <w:p w:rsidR="00361882" w:rsidRPr="00361882" w:rsidRDefault="00361882" w:rsidP="00B843FA">
      <w:pPr>
        <w:jc w:val="center"/>
        <w:rPr>
          <w:rFonts w:ascii="Arial" w:hAnsi="Arial" w:cs="Arial"/>
          <w:b/>
          <w:bCs/>
          <w:color w:val="3F5664"/>
          <w:sz w:val="22"/>
          <w:szCs w:val="22"/>
          <w:u w:val="single"/>
        </w:rPr>
      </w:pPr>
      <w:r w:rsidRPr="00361882">
        <w:rPr>
          <w:rFonts w:ascii="Arial" w:hAnsi="Arial" w:cs="Arial"/>
          <w:b/>
          <w:bCs/>
          <w:color w:val="3F5664"/>
          <w:sz w:val="22"/>
          <w:szCs w:val="22"/>
          <w:u w:val="single"/>
        </w:rPr>
        <w:t>Resource 6</w:t>
      </w:r>
    </w:p>
    <w:p w:rsidR="00B843FA" w:rsidRPr="00361882" w:rsidRDefault="00B843FA" w:rsidP="00B843FA">
      <w:pPr>
        <w:jc w:val="center"/>
        <w:rPr>
          <w:rFonts w:ascii="Arial" w:hAnsi="Arial" w:cs="Arial"/>
          <w:b/>
          <w:bCs/>
          <w:color w:val="3F5664"/>
          <w:sz w:val="22"/>
          <w:szCs w:val="22"/>
          <w:u w:val="single"/>
        </w:rPr>
      </w:pPr>
      <w:r w:rsidRPr="00361882">
        <w:rPr>
          <w:rFonts w:ascii="Arial" w:hAnsi="Arial" w:cs="Arial"/>
          <w:b/>
          <w:bCs/>
          <w:color w:val="3F5664"/>
          <w:sz w:val="22"/>
          <w:szCs w:val="22"/>
          <w:u w:val="single"/>
        </w:rPr>
        <w:t>Boston’s Matrix</w:t>
      </w:r>
    </w:p>
    <w:p w:rsidR="00B843FA" w:rsidRPr="00361882" w:rsidRDefault="00B843FA" w:rsidP="00B843FA">
      <w:pPr>
        <w:jc w:val="both"/>
        <w:rPr>
          <w:rFonts w:ascii="Arial" w:hAnsi="Arial" w:cs="Arial"/>
          <w:i/>
          <w:iCs/>
          <w:color w:val="FF0000"/>
          <w:sz w:val="22"/>
          <w:szCs w:val="22"/>
        </w:rPr>
      </w:pPr>
    </w:p>
    <w:p w:rsidR="00FF53B2" w:rsidRPr="00361882" w:rsidRDefault="00BF544B" w:rsidP="00B843FA">
      <w:pPr>
        <w:jc w:val="both"/>
        <w:rPr>
          <w:rFonts w:ascii="Arial" w:hAnsi="Arial" w:cs="Arial"/>
          <w:i/>
          <w:iCs/>
          <w:color w:val="FF0000"/>
          <w:sz w:val="22"/>
          <w:szCs w:val="22"/>
        </w:rPr>
      </w:pPr>
      <w:r w:rsidRPr="00361882">
        <w:rPr>
          <w:rFonts w:ascii="Arial" w:hAnsi="Arial" w:cs="Arial"/>
          <w:sz w:val="22"/>
          <w:szCs w:val="22"/>
        </w:rPr>
        <w:t xml:space="preserve">Boston’s Matrix is a practical tool that can be used to review current services – checking that they still meet the needs of the proxies you have identified to represent the population and communities in your workforce planning process. The tool can be used to facilitate the engagement of stakeholders in the </w:t>
      </w:r>
      <w:r w:rsidR="00277A55" w:rsidRPr="00361882">
        <w:rPr>
          <w:rFonts w:ascii="Arial" w:hAnsi="Arial" w:cs="Arial"/>
          <w:sz w:val="22"/>
          <w:szCs w:val="22"/>
        </w:rPr>
        <w:t>workforce planning process</w:t>
      </w:r>
      <w:r w:rsidR="00B843FA" w:rsidRPr="00361882">
        <w:rPr>
          <w:rFonts w:ascii="Arial" w:hAnsi="Arial" w:cs="Arial"/>
          <w:sz w:val="22"/>
          <w:szCs w:val="22"/>
        </w:rPr>
        <w:t>.</w:t>
      </w:r>
    </w:p>
    <w:p w:rsidR="00B843FA" w:rsidRPr="00361882" w:rsidRDefault="00B843FA" w:rsidP="00B843FA">
      <w:pPr>
        <w:jc w:val="both"/>
        <w:rPr>
          <w:rFonts w:ascii="Arial" w:hAnsi="Arial" w:cs="Arial"/>
          <w:sz w:val="22"/>
          <w:szCs w:val="22"/>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B843FA" w:rsidRPr="00361882" w:rsidTr="00361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none" w:sz="0" w:space="0" w:color="auto"/>
              <w:bottom w:val="none" w:sz="0" w:space="0" w:color="auto"/>
              <w:right w:val="none" w:sz="0" w:space="0" w:color="auto"/>
            </w:tcBorders>
            <w:shd w:val="clear" w:color="auto" w:fill="3F5664"/>
          </w:tcPr>
          <w:p w:rsidR="00B843FA" w:rsidRPr="00361882" w:rsidRDefault="00B843FA" w:rsidP="00361882">
            <w:pPr>
              <w:rPr>
                <w:rFonts w:ascii="Arial" w:hAnsi="Arial" w:cs="Arial"/>
                <w:color w:val="FFFFFF" w:themeColor="background1"/>
                <w:sz w:val="22"/>
                <w:szCs w:val="22"/>
              </w:rPr>
            </w:pPr>
            <w:r w:rsidRPr="00361882">
              <w:rPr>
                <w:rFonts w:ascii="Arial" w:hAnsi="Arial" w:cs="Arial"/>
                <w:color w:val="FFFFFF" w:themeColor="background1"/>
                <w:sz w:val="22"/>
                <w:szCs w:val="22"/>
              </w:rPr>
              <w:t>RISING STAR</w:t>
            </w:r>
          </w:p>
          <w:p w:rsidR="00B843FA" w:rsidRPr="00361882" w:rsidRDefault="00B843FA" w:rsidP="00361882">
            <w:pPr>
              <w:rPr>
                <w:rFonts w:ascii="Arial" w:hAnsi="Arial" w:cs="Arial"/>
                <w:b w:val="0"/>
                <w:bCs w:val="0"/>
                <w:color w:val="FFFFFF" w:themeColor="background1"/>
                <w:sz w:val="22"/>
                <w:szCs w:val="22"/>
              </w:rPr>
            </w:pPr>
          </w:p>
        </w:tc>
        <w:tc>
          <w:tcPr>
            <w:tcW w:w="4505" w:type="dxa"/>
            <w:tcBorders>
              <w:top w:val="none" w:sz="0" w:space="0" w:color="auto"/>
              <w:left w:val="none" w:sz="0" w:space="0" w:color="auto"/>
              <w:bottom w:val="none" w:sz="0" w:space="0" w:color="auto"/>
            </w:tcBorders>
            <w:shd w:val="clear" w:color="auto" w:fill="3F5664"/>
          </w:tcPr>
          <w:p w:rsidR="00B843FA" w:rsidRPr="00361882" w:rsidRDefault="00B843FA" w:rsidP="0036188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361882">
              <w:rPr>
                <w:rFonts w:ascii="Arial" w:hAnsi="Arial" w:cs="Arial"/>
                <w:color w:val="FFFFFF" w:themeColor="background1"/>
                <w:sz w:val="22"/>
                <w:szCs w:val="22"/>
              </w:rPr>
              <w:t>QUESTION MARK</w:t>
            </w:r>
          </w:p>
          <w:p w:rsidR="00B843FA" w:rsidRPr="00361882" w:rsidRDefault="00B843FA" w:rsidP="003618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2"/>
                <w:szCs w:val="22"/>
              </w:rPr>
            </w:pPr>
          </w:p>
        </w:tc>
      </w:tr>
      <w:tr w:rsidR="00361882" w:rsidRPr="00361882" w:rsidTr="00361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CED647"/>
          </w:tcPr>
          <w:p w:rsidR="00361882" w:rsidRPr="00361882" w:rsidRDefault="00361882" w:rsidP="00361882">
            <w:pPr>
              <w:rPr>
                <w:rFonts w:ascii="Arial" w:hAnsi="Arial" w:cs="Arial"/>
                <w:sz w:val="22"/>
                <w:szCs w:val="22"/>
              </w:rPr>
            </w:pPr>
            <w:r w:rsidRPr="00361882">
              <w:rPr>
                <w:rFonts w:ascii="Arial" w:hAnsi="Arial" w:cs="Arial"/>
                <w:b w:val="0"/>
                <w:bCs w:val="0"/>
                <w:sz w:val="22"/>
                <w:szCs w:val="22"/>
              </w:rPr>
              <w:t>These are services that have a lot of momentum and support behind their development. This support can be through availability of funding or could be political support. There is a sense that there is a growing need/demand for such services within the population and communities at the centre of the workforce planning process. These are usually services that are chosen to remain if they still make sense for the local population and communities</w:t>
            </w:r>
          </w:p>
        </w:tc>
        <w:tc>
          <w:tcPr>
            <w:tcW w:w="4505" w:type="dxa"/>
            <w:shd w:val="clear" w:color="auto" w:fill="CED647"/>
          </w:tcPr>
          <w:p w:rsidR="00361882" w:rsidRPr="00361882" w:rsidRDefault="00361882" w:rsidP="0036188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61882">
              <w:rPr>
                <w:rFonts w:ascii="Arial" w:hAnsi="Arial" w:cs="Arial"/>
                <w:sz w:val="22"/>
                <w:szCs w:val="22"/>
              </w:rPr>
              <w:t>These are services that are proving difficult to establish, sometimes despite the commitment to making them work. There could be several reasons for this difficulty, such as, lack of funding, shortage of workforce, poor design of delivery pathway. The decision needs to be made as to whether there needs to be continuing investment in providing such services, or whether there is an alternative for to meet the needs of the population and communities</w:t>
            </w:r>
          </w:p>
        </w:tc>
      </w:tr>
      <w:tr w:rsidR="00B843FA" w:rsidRPr="00361882" w:rsidTr="00361882">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b w:val="0"/>
                <w:bCs w:val="0"/>
                <w:sz w:val="22"/>
                <w:szCs w:val="22"/>
              </w:rPr>
            </w:pPr>
          </w:p>
          <w:p w:rsidR="00361882" w:rsidRPr="00361882" w:rsidRDefault="00361882"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tc>
        <w:tc>
          <w:tcPr>
            <w:tcW w:w="4505" w:type="dxa"/>
            <w:shd w:val="clear" w:color="auto" w:fill="FFFFFF" w:themeFill="background1"/>
          </w:tcPr>
          <w:p w:rsidR="00B843FA" w:rsidRPr="00361882" w:rsidRDefault="00B843FA" w:rsidP="00B843F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61882" w:rsidRPr="00361882" w:rsidTr="00361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3F5664"/>
          </w:tcPr>
          <w:p w:rsidR="00361882" w:rsidRPr="00361882" w:rsidRDefault="00361882" w:rsidP="00361882">
            <w:pPr>
              <w:jc w:val="both"/>
              <w:rPr>
                <w:rFonts w:ascii="Arial" w:hAnsi="Arial" w:cs="Arial"/>
                <w:color w:val="FFFFFF" w:themeColor="background1"/>
                <w:sz w:val="22"/>
                <w:szCs w:val="22"/>
              </w:rPr>
            </w:pPr>
            <w:r w:rsidRPr="00361882">
              <w:rPr>
                <w:rFonts w:ascii="Arial" w:hAnsi="Arial" w:cs="Arial"/>
                <w:color w:val="FFFFFF" w:themeColor="background1"/>
                <w:sz w:val="22"/>
                <w:szCs w:val="22"/>
              </w:rPr>
              <w:t>CASH COW</w:t>
            </w:r>
          </w:p>
          <w:p w:rsidR="00361882" w:rsidRPr="00361882" w:rsidRDefault="00361882" w:rsidP="00B843FA">
            <w:pPr>
              <w:jc w:val="both"/>
              <w:rPr>
                <w:rFonts w:ascii="Arial" w:hAnsi="Arial" w:cs="Arial"/>
                <w:color w:val="FFFFFF" w:themeColor="background1"/>
                <w:sz w:val="22"/>
                <w:szCs w:val="22"/>
              </w:rPr>
            </w:pPr>
          </w:p>
        </w:tc>
        <w:tc>
          <w:tcPr>
            <w:tcW w:w="4505" w:type="dxa"/>
            <w:shd w:val="clear" w:color="auto" w:fill="3F5664"/>
          </w:tcPr>
          <w:p w:rsidR="00361882" w:rsidRPr="00361882" w:rsidRDefault="00361882" w:rsidP="00361882">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r w:rsidRPr="00361882">
              <w:rPr>
                <w:rFonts w:ascii="Arial" w:hAnsi="Arial" w:cs="Arial"/>
                <w:b/>
                <w:bCs/>
                <w:color w:val="FFFFFF" w:themeColor="background1"/>
                <w:sz w:val="22"/>
                <w:szCs w:val="22"/>
              </w:rPr>
              <w:t>DOG</w:t>
            </w:r>
          </w:p>
          <w:p w:rsidR="00361882" w:rsidRPr="00361882" w:rsidRDefault="00361882" w:rsidP="00B843F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r>
      <w:tr w:rsidR="00B843FA" w:rsidRPr="00361882" w:rsidTr="00361882">
        <w:tc>
          <w:tcPr>
            <w:cnfStyle w:val="001000000000" w:firstRow="0" w:lastRow="0" w:firstColumn="1" w:lastColumn="0" w:oddVBand="0" w:evenVBand="0" w:oddHBand="0" w:evenHBand="0" w:firstRowFirstColumn="0" w:firstRowLastColumn="0" w:lastRowFirstColumn="0" w:lastRowLastColumn="0"/>
            <w:tcW w:w="4505" w:type="dxa"/>
            <w:shd w:val="clear" w:color="auto" w:fill="CED647"/>
          </w:tcPr>
          <w:p w:rsidR="00B843FA" w:rsidRPr="00361882" w:rsidRDefault="00B843FA" w:rsidP="00B843FA">
            <w:pPr>
              <w:jc w:val="both"/>
              <w:rPr>
                <w:rFonts w:ascii="Arial" w:hAnsi="Arial" w:cs="Arial"/>
                <w:b w:val="0"/>
                <w:bCs w:val="0"/>
                <w:sz w:val="22"/>
                <w:szCs w:val="22"/>
              </w:rPr>
            </w:pPr>
            <w:r w:rsidRPr="00361882">
              <w:rPr>
                <w:rFonts w:ascii="Arial" w:hAnsi="Arial" w:cs="Arial"/>
                <w:b w:val="0"/>
                <w:bCs w:val="0"/>
                <w:sz w:val="22"/>
                <w:szCs w:val="22"/>
              </w:rPr>
              <w:t>These are services that run easily and smoothly as a matter of routine. This does not mean the services are simple. They could be quite complex, but the organisation(s) have a great reputation for providing these services and local expertise has been built up around the services. These are usually services that are chosen to remain as long they still make sense for the population and communities</w:t>
            </w:r>
          </w:p>
        </w:tc>
        <w:tc>
          <w:tcPr>
            <w:tcW w:w="4505" w:type="dxa"/>
            <w:shd w:val="clear" w:color="auto" w:fill="CED647"/>
          </w:tcPr>
          <w:p w:rsidR="00B843FA" w:rsidRPr="00361882" w:rsidRDefault="00B843FA" w:rsidP="00B843F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61882">
              <w:rPr>
                <w:rFonts w:ascii="Arial" w:hAnsi="Arial" w:cs="Arial"/>
                <w:sz w:val="22"/>
                <w:szCs w:val="22"/>
              </w:rPr>
              <w:t>These are services that are no longer relevant and do not meet any specific need within the population and communities. They are usually services that have been provided over many years and did once make sense for how services were delivered and how people accessed those services</w:t>
            </w:r>
          </w:p>
        </w:tc>
      </w:tr>
      <w:tr w:rsidR="00B843FA" w:rsidRPr="00361882" w:rsidTr="00361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b w:val="0"/>
                <w:bCs w:val="0"/>
                <w:sz w:val="22"/>
                <w:szCs w:val="22"/>
              </w:rPr>
            </w:pPr>
          </w:p>
          <w:p w:rsidR="00B843FA" w:rsidRPr="00361882" w:rsidRDefault="00B843FA" w:rsidP="00B843FA">
            <w:pPr>
              <w:jc w:val="both"/>
              <w:rPr>
                <w:rFonts w:ascii="Arial" w:hAnsi="Arial" w:cs="Arial"/>
                <w:sz w:val="22"/>
                <w:szCs w:val="22"/>
              </w:rPr>
            </w:pPr>
          </w:p>
          <w:p w:rsidR="00B843FA" w:rsidRPr="00361882" w:rsidRDefault="00B843FA" w:rsidP="00B843FA">
            <w:pPr>
              <w:jc w:val="both"/>
              <w:rPr>
                <w:rFonts w:ascii="Arial" w:hAnsi="Arial" w:cs="Arial"/>
                <w:sz w:val="22"/>
                <w:szCs w:val="22"/>
              </w:rPr>
            </w:pPr>
          </w:p>
        </w:tc>
        <w:tc>
          <w:tcPr>
            <w:tcW w:w="4505" w:type="dxa"/>
            <w:shd w:val="clear" w:color="auto" w:fill="FFFFFF" w:themeFill="background1"/>
          </w:tcPr>
          <w:p w:rsidR="00B843FA" w:rsidRPr="00361882" w:rsidRDefault="00B843FA" w:rsidP="00B843F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B843FA" w:rsidRPr="00361882" w:rsidRDefault="00B843FA" w:rsidP="00B843FA">
      <w:pPr>
        <w:jc w:val="both"/>
        <w:rPr>
          <w:rFonts w:ascii="Arial" w:hAnsi="Arial" w:cs="Arial"/>
          <w:sz w:val="22"/>
          <w:szCs w:val="22"/>
        </w:rPr>
      </w:pPr>
    </w:p>
    <w:sectPr w:rsidR="00B843FA" w:rsidRPr="00361882" w:rsidSect="00EF712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E83" w:rsidRDefault="005D4E83" w:rsidP="00B843FA">
      <w:r>
        <w:separator/>
      </w:r>
    </w:p>
  </w:endnote>
  <w:endnote w:type="continuationSeparator" w:id="0">
    <w:p w:rsidR="005D4E83" w:rsidRDefault="005D4E83" w:rsidP="00B8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882" w:rsidRDefault="00361882" w:rsidP="00361882">
    <w:pPr>
      <w:pStyle w:val="Footer"/>
      <w:rPr>
        <w:noProof/>
        <w:sz w:val="18"/>
        <w:szCs w:val="18"/>
      </w:rPr>
    </w:pPr>
    <w:r>
      <w:rPr>
        <w:noProof/>
        <w:sz w:val="18"/>
        <w:szCs w:val="18"/>
      </w:rPr>
      <w:t xml:space="preserve">Document updated 30/11/21 </w:t>
    </w:r>
  </w:p>
  <w:p w:rsidR="00361882" w:rsidRPr="00E66C28" w:rsidRDefault="00361882" w:rsidP="00361882">
    <w:pPr>
      <w:pStyle w:val="Footer"/>
      <w:rPr>
        <w:sz w:val="18"/>
        <w:szCs w:val="18"/>
      </w:rPr>
    </w:pPr>
    <w:r>
      <w:rPr>
        <w:noProof/>
        <w:sz w:val="18"/>
        <w:szCs w:val="18"/>
      </w:rPr>
      <w:t>Gm.workforce@nhs.net</w:t>
    </w:r>
  </w:p>
  <w:p w:rsidR="00B843FA" w:rsidRDefault="00B8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E83" w:rsidRDefault="005D4E83" w:rsidP="00B843FA">
      <w:r>
        <w:separator/>
      </w:r>
    </w:p>
  </w:footnote>
  <w:footnote w:type="continuationSeparator" w:id="0">
    <w:p w:rsidR="005D4E83" w:rsidRDefault="005D4E83" w:rsidP="00B8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43FA" w:rsidRDefault="00361882">
    <w:pPr>
      <w:pStyle w:val="Header"/>
    </w:pPr>
    <w:r>
      <w:rPr>
        <w:noProof/>
      </w:rPr>
      <w:drawing>
        <wp:anchor distT="0" distB="0" distL="114300" distR="114300" simplePos="0" relativeHeight="251663360" behindDoc="0" locked="0" layoutInCell="1" allowOverlap="1" wp14:anchorId="3A06A95F" wp14:editId="23E6A358">
          <wp:simplePos x="0" y="0"/>
          <wp:positionH relativeFrom="column">
            <wp:posOffset>4074160</wp:posOffset>
          </wp:positionH>
          <wp:positionV relativeFrom="paragraph">
            <wp:posOffset>-174625</wp:posOffset>
          </wp:positionV>
          <wp:extent cx="2065655" cy="851535"/>
          <wp:effectExtent l="0" t="0" r="0" b="0"/>
          <wp:wrapSquare wrapText="bothSides"/>
          <wp:docPr id="2" name="Picture 2"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NHS GM Logo_GMCA &amp; GM NHS"/>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65655" cy="8515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12A22BD9" wp14:editId="0F5416F1">
          <wp:simplePos x="0" y="0"/>
          <wp:positionH relativeFrom="column">
            <wp:posOffset>-431800</wp:posOffset>
          </wp:positionH>
          <wp:positionV relativeFrom="paragraph">
            <wp:posOffset>5715</wp:posOffset>
          </wp:positionV>
          <wp:extent cx="1699260" cy="548640"/>
          <wp:effectExtent l="0" t="0" r="0" b="3810"/>
          <wp:wrapSquare wrapText="bothSides"/>
          <wp:docPr id="1" name="Picture 1"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w NHS GM Logo_GMCA &amp; GM NHS"/>
                  <pic:cNvPicPr>
                    <a:picLocks noChangeAspect="1"/>
                  </pic:cNvPicPr>
                </pic:nvPicPr>
                <pic:blipFill rotWithShape="1">
                  <a:blip r:embed="rId2" cstate="print">
                    <a:extLst>
                      <a:ext uri="{28A0092B-C50C-407E-A947-70E740481C1C}">
                        <a14:useLocalDpi xmlns:a14="http://schemas.microsoft.com/office/drawing/2010/main" val="0"/>
                      </a:ext>
                    </a:extLst>
                  </a:blip>
                  <a:srcRect l="8699" t="21460" r="16169" b="25180"/>
                  <a:stretch/>
                </pic:blipFill>
                <pic:spPr bwMode="auto">
                  <a:xfrm>
                    <a:off x="0" y="0"/>
                    <a:ext cx="1699260" cy="548640"/>
                  </a:xfrm>
                  <a:prstGeom prst="rect">
                    <a:avLst/>
                  </a:prstGeom>
                  <a:noFill/>
                  <a:ln>
                    <a:noFill/>
                  </a:ln>
                  <a:extLst>
                    <a:ext uri="{53640926-AAD7-44D8-BBD7-CCE9431645EC}">
                      <a14:shadowObscured xmlns:a14="http://schemas.microsoft.com/office/drawing/2010/main"/>
                    </a:ext>
                  </a:extLst>
                </pic:spPr>
              </pic:pic>
            </a:graphicData>
          </a:graphic>
        </wp:anchor>
      </w:drawing>
    </w:r>
  </w:p>
  <w:p w:rsidR="00B843FA" w:rsidRDefault="00B843FA">
    <w:pPr>
      <w:pStyle w:val="Header"/>
    </w:pPr>
  </w:p>
  <w:p w:rsidR="00B843FA" w:rsidRDefault="00B84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CC"/>
    <w:rsid w:val="00033042"/>
    <w:rsid w:val="00091E81"/>
    <w:rsid w:val="000E6082"/>
    <w:rsid w:val="000F239B"/>
    <w:rsid w:val="00277A55"/>
    <w:rsid w:val="00304B58"/>
    <w:rsid w:val="00361882"/>
    <w:rsid w:val="003F67CC"/>
    <w:rsid w:val="004D10F3"/>
    <w:rsid w:val="0051054A"/>
    <w:rsid w:val="005661C8"/>
    <w:rsid w:val="005A61E5"/>
    <w:rsid w:val="005D4E83"/>
    <w:rsid w:val="006C7C57"/>
    <w:rsid w:val="00811743"/>
    <w:rsid w:val="00881FF2"/>
    <w:rsid w:val="008E0E1D"/>
    <w:rsid w:val="00931B5F"/>
    <w:rsid w:val="00986F0B"/>
    <w:rsid w:val="00A010CA"/>
    <w:rsid w:val="00A53EAB"/>
    <w:rsid w:val="00AA5BBF"/>
    <w:rsid w:val="00B843FA"/>
    <w:rsid w:val="00BF544B"/>
    <w:rsid w:val="00EF7123"/>
    <w:rsid w:val="00F214C9"/>
    <w:rsid w:val="00F24A39"/>
    <w:rsid w:val="00F56462"/>
    <w:rsid w:val="00FA01AD"/>
    <w:rsid w:val="00FA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C30"/>
  <w15:chartTrackingRefBased/>
  <w15:docId w15:val="{FD2A4515-C467-9C42-A8CF-3B9794FE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F5646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843FA"/>
    <w:pPr>
      <w:tabs>
        <w:tab w:val="center" w:pos="4513"/>
        <w:tab w:val="right" w:pos="9026"/>
      </w:tabs>
    </w:pPr>
  </w:style>
  <w:style w:type="character" w:customStyle="1" w:styleId="HeaderChar">
    <w:name w:val="Header Char"/>
    <w:basedOn w:val="DefaultParagraphFont"/>
    <w:link w:val="Header"/>
    <w:uiPriority w:val="99"/>
    <w:rsid w:val="00B843FA"/>
  </w:style>
  <w:style w:type="paragraph" w:styleId="Footer">
    <w:name w:val="footer"/>
    <w:basedOn w:val="Normal"/>
    <w:link w:val="FooterChar"/>
    <w:uiPriority w:val="99"/>
    <w:unhideWhenUsed/>
    <w:rsid w:val="00B843FA"/>
    <w:pPr>
      <w:tabs>
        <w:tab w:val="center" w:pos="4513"/>
        <w:tab w:val="right" w:pos="9026"/>
      </w:tabs>
    </w:pPr>
  </w:style>
  <w:style w:type="character" w:customStyle="1" w:styleId="FooterChar">
    <w:name w:val="Footer Char"/>
    <w:basedOn w:val="DefaultParagraphFont"/>
    <w:link w:val="Footer"/>
    <w:uiPriority w:val="99"/>
    <w:rsid w:val="00B8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brooks</dc:creator>
  <cp:keywords/>
  <dc:description/>
  <cp:lastModifiedBy>James Wilson</cp:lastModifiedBy>
  <cp:revision>1</cp:revision>
  <dcterms:created xsi:type="dcterms:W3CDTF">2021-12-07T15:01:00Z</dcterms:created>
  <dcterms:modified xsi:type="dcterms:W3CDTF">2021-12-07T15:01:00Z</dcterms:modified>
</cp:coreProperties>
</file>